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5" w:rsidRDefault="00DF5935" w:rsidP="003D2A4A">
      <w:pPr>
        <w:rPr>
          <w:rFonts w:ascii="NexusSansPro" w:hAnsi="NexusSansPro"/>
          <w:color w:val="505050"/>
          <w:sz w:val="30"/>
          <w:szCs w:val="30"/>
        </w:rPr>
      </w:pPr>
      <w:r>
        <w:rPr>
          <w:rFonts w:ascii="NexusSansPro" w:hAnsi="NexusSansPro"/>
          <w:color w:val="505050"/>
          <w:sz w:val="30"/>
          <w:szCs w:val="30"/>
        </w:rPr>
        <w:fldChar w:fldCharType="begin"/>
      </w:r>
      <w:r>
        <w:rPr>
          <w:rFonts w:ascii="NexusSansPro" w:hAnsi="NexusSansPro"/>
          <w:color w:val="505050"/>
          <w:sz w:val="30"/>
          <w:szCs w:val="30"/>
        </w:rPr>
        <w:instrText xml:space="preserve"> HYPERLINK "</w:instrText>
      </w:r>
      <w:r w:rsidRPr="00DF5935">
        <w:rPr>
          <w:rFonts w:ascii="NexusSansPro" w:hAnsi="NexusSansPro"/>
          <w:color w:val="505050"/>
          <w:sz w:val="30"/>
          <w:szCs w:val="30"/>
        </w:rPr>
        <w:instrText>https://www.gacetasanitaria.org/es-impacto-pandemia-atencion-primaria-informe-articulo-S0213911122001248</w:instrText>
      </w:r>
      <w:r>
        <w:rPr>
          <w:rFonts w:ascii="NexusSansPro" w:hAnsi="NexusSansPro"/>
          <w:color w:val="505050"/>
          <w:sz w:val="30"/>
          <w:szCs w:val="30"/>
        </w:rPr>
        <w:instrText xml:space="preserve">" </w:instrText>
      </w:r>
      <w:r>
        <w:rPr>
          <w:rFonts w:ascii="NexusSansPro" w:hAnsi="NexusSansPro"/>
          <w:color w:val="505050"/>
          <w:sz w:val="30"/>
          <w:szCs w:val="30"/>
        </w:rPr>
        <w:fldChar w:fldCharType="separate"/>
      </w:r>
      <w:r w:rsidRPr="00100124">
        <w:rPr>
          <w:rStyle w:val="Hipervnculo"/>
          <w:rFonts w:ascii="NexusSansPro" w:hAnsi="NexusSansPro"/>
          <w:sz w:val="30"/>
          <w:szCs w:val="30"/>
        </w:rPr>
        <w:t>https://www.gacetasanitaria.org/es-impacto-pandemia-atencion-primaria-informe-articulo-S0213911122001248</w:t>
      </w:r>
      <w:r>
        <w:rPr>
          <w:rFonts w:ascii="NexusSansPro" w:hAnsi="NexusSansPro"/>
          <w:color w:val="505050"/>
          <w:sz w:val="30"/>
          <w:szCs w:val="30"/>
        </w:rPr>
        <w:fldChar w:fldCharType="end"/>
      </w:r>
      <w:bookmarkStart w:id="0" w:name="_GoBack"/>
      <w:bookmarkEnd w:id="0"/>
    </w:p>
    <w:p w:rsidR="00DF5935" w:rsidRPr="00DF5935" w:rsidRDefault="00DF5935" w:rsidP="00DF5935">
      <w:pPr>
        <w:spacing w:after="0" w:line="240" w:lineRule="auto"/>
        <w:textAlignment w:val="baseline"/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</w:pPr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Tabla 3.</w:t>
      </w:r>
    </w:p>
    <w:p w:rsidR="00DF5935" w:rsidRPr="00DF5935" w:rsidRDefault="00DF5935" w:rsidP="00DF5935">
      <w:pPr>
        <w:spacing w:before="100" w:beforeAutospacing="1" w:after="100" w:afterAutospacing="1" w:line="450" w:lineRule="atLeast"/>
        <w:jc w:val="both"/>
        <w:textAlignment w:val="baseline"/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</w:pPr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Resumen del impacto de la COVID-19 en la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atención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primaria</w:t>
      </w:r>
      <w:proofErr w:type="spellEnd"/>
    </w:p>
    <w:tbl>
      <w:tblPr>
        <w:tblW w:w="0" w:type="auto"/>
        <w:tblCellSpacing w:w="15" w:type="dxa"/>
        <w:shd w:val="clear" w:color="auto" w:fill="D9D2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935"/>
        <w:gridCol w:w="1996"/>
        <w:gridCol w:w="2101"/>
      </w:tblGrid>
      <w:tr w:rsidR="00DF5935" w:rsidRPr="00DF5935" w:rsidTr="00DF593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EEEEE"/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EEEEE"/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Definición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EEEEE"/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Afectación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por la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pandemia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Propuestas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mejora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</w:tr>
      <w:tr w:rsidR="00DF5935" w:rsidRPr="00DF5935" w:rsidTr="00DF59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Accesibilidad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Cualidad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innata de la AP que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posibilita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que los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distintos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problemas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salud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reciban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la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asistencia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sanitaria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necesaria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adecuada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en el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momento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oportuno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con las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mínimas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barreras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posibles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Limitación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acceso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centros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saludRetraso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en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atenciónConsulta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telefónica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sin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soporte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telemático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Eliminación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límites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acceso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(en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proceso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)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Aumento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optimización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recursos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humanosSistema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mixto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atención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presencial/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telemático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  <w:tr w:rsidR="00DF5935" w:rsidRPr="00DF5935" w:rsidTr="00DF59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Longitudinalidad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Permite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trabar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una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relación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confianza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mutua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entre el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paciente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el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profesional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que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realiza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seguimiento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los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problemas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salud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paciente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 lo largo del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tiempo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su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vida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Bajas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sanitariosAtención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pacientes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en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medio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hospitalario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Consolidar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atención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por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APDotar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 la AP de recursos para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atención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pacientes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crónicos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  <w:tr w:rsidR="00DF5935" w:rsidRPr="00DF5935" w:rsidTr="00DF59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Integralidad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resolutividad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Ambas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cualidades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habilitan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una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visión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biopsicosocial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más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completa del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sujeto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para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resolver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acompañar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la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mayoría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los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problemas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salud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la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población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Los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protocolos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derivan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nivel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hospitalario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Dotar a la AP de recursos que orienten al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diagnóstico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  <w:tr w:rsidR="00DF5935" w:rsidRPr="00DF5935" w:rsidTr="00DF59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Coordinación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/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continuidad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asistencial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Permite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profesional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AP </w:t>
            </w: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 xml:space="preserve">de referencia conciliar los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diferentes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servicios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atención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 la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salud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independientemente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lugar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momento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de manera coordinada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desde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el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conocimiento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la persona y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su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entorno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 xml:space="preserve">PNT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confusosPobre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 xml:space="preserve">manejo de la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incertidumbreEscasa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coordinación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con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nivel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sociosanitario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farmacia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comunitaria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5935" w:rsidRPr="00DF5935" w:rsidRDefault="00DF5935" w:rsidP="00DF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>Estrategias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salud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pública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>clarasProgramas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coordinación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oficial entre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niveles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que potencien la sinergia de los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profesionales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</w:tbl>
    <w:p w:rsidR="00DF5935" w:rsidRPr="00DF5935" w:rsidRDefault="00DF5935" w:rsidP="00DF5935">
      <w:pPr>
        <w:spacing w:before="100" w:beforeAutospacing="1" w:after="100" w:afterAutospacing="1" w:line="450" w:lineRule="atLeast"/>
        <w:jc w:val="both"/>
        <w:textAlignment w:val="baseline"/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</w:pPr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lastRenderedPageBreak/>
        <w:t xml:space="preserve">AP: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atención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primaria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; PNT: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procedimiento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normalizado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de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trabajo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.</w:t>
      </w:r>
    </w:p>
    <w:p w:rsidR="00DF5935" w:rsidRDefault="00DF5935"/>
    <w:p w:rsidR="00CD0CCF" w:rsidRDefault="00CD0CCF">
      <w:pPr>
        <w:rPr>
          <w:rFonts w:ascii="NexusSansPro" w:hAnsi="NexusSansPro"/>
          <w:color w:val="505050"/>
          <w:sz w:val="30"/>
          <w:szCs w:val="30"/>
        </w:rPr>
      </w:pPr>
      <w:r>
        <w:rPr>
          <w:rFonts w:ascii="NexusSansPro" w:hAnsi="NexusSansPro"/>
          <w:color w:val="505050"/>
          <w:sz w:val="30"/>
          <w:szCs w:val="30"/>
        </w:rPr>
        <w:t xml:space="preserve">El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hospitalocentrismo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la falta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tiempo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atención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primaria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considerados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como una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maldición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sin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opciones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ser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reconducidos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han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hecho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que el hospital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haya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asumido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progresivamente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algunos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servicios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que son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perfectamente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asumibles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por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atención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primaria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si esta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dispusiera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recursos.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Unidades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hospitalización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 domicilio,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atención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paliativos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servicios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del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pie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diabético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unidades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crónicos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entre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otras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son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competencias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que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deberían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estar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integradas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en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atención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primaria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con los recursos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necesarios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>.</w:t>
      </w:r>
    </w:p>
    <w:p w:rsidR="003D2A4A" w:rsidRDefault="003D2A4A">
      <w:pPr>
        <w:rPr>
          <w:rFonts w:ascii="NexusSansPro" w:hAnsi="NexusSansPro"/>
          <w:color w:val="505050"/>
          <w:sz w:val="30"/>
          <w:szCs w:val="30"/>
        </w:rPr>
      </w:pPr>
    </w:p>
    <w:p w:rsidR="003D2A4A" w:rsidRDefault="003D2A4A" w:rsidP="003D2A4A">
      <w:pPr>
        <w:rPr>
          <w:rFonts w:ascii="NexusSansPro" w:hAnsi="NexusSansPro"/>
          <w:color w:val="505050"/>
          <w:sz w:val="30"/>
          <w:szCs w:val="30"/>
        </w:rPr>
      </w:pPr>
      <w:r>
        <w:rPr>
          <w:rFonts w:ascii="NexusSansPro" w:hAnsi="NexusSansPro"/>
          <w:color w:val="505050"/>
          <w:sz w:val="30"/>
          <w:szCs w:val="30"/>
        </w:rPr>
        <w:t xml:space="preserve">Solo una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décima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parte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los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infectados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detectados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precisaron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acudir al hospital. No se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concedió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 la AP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importancia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el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papel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más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relevante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que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debía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haber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tenido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en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aquel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momento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. Esta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decisión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en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gestión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inicial de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pandemia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desvió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recursos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humanos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materiales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al hospital,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produciéndose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el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cierre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centros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salud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consultorios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en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algunas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comunidades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autónomas</w:t>
      </w:r>
      <w:hyperlink r:id="rId5" w:anchor="bib0355" w:history="1">
        <w:r>
          <w:rPr>
            <w:rStyle w:val="elsevierstylesup"/>
            <w:rFonts w:ascii="inherit" w:hAnsi="inherit"/>
            <w:color w:val="00759B"/>
            <w:sz w:val="15"/>
            <w:szCs w:val="15"/>
            <w:bdr w:val="none" w:sz="0" w:space="0" w:color="auto" w:frame="1"/>
            <w:vertAlign w:val="superscript"/>
          </w:rPr>
          <w:t>13</w:t>
        </w:r>
      </w:hyperlink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situación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que casi 2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años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después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no se ha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revertido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en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algunos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casos. </w:t>
      </w:r>
    </w:p>
    <w:p w:rsidR="003D2A4A" w:rsidRPr="00DF5935" w:rsidRDefault="003D2A4A" w:rsidP="003D2A4A">
      <w:pPr>
        <w:spacing w:after="0" w:line="240" w:lineRule="auto"/>
        <w:textAlignment w:val="baseline"/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</w:pPr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Tabla 1.</w:t>
      </w:r>
    </w:p>
    <w:p w:rsidR="003D2A4A" w:rsidRPr="00DF5935" w:rsidRDefault="003D2A4A" w:rsidP="003D2A4A">
      <w:pPr>
        <w:spacing w:before="100" w:beforeAutospacing="1" w:after="100" w:afterAutospacing="1" w:line="450" w:lineRule="atLeast"/>
        <w:jc w:val="both"/>
        <w:textAlignment w:val="baseline"/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</w:pP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Datos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de España a 1 de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julio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de 2020</w:t>
      </w:r>
    </w:p>
    <w:tbl>
      <w:tblPr>
        <w:tblW w:w="0" w:type="auto"/>
        <w:tblCellSpacing w:w="15" w:type="dxa"/>
        <w:shd w:val="clear" w:color="auto" w:fill="D9D2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320"/>
        <w:gridCol w:w="555"/>
      </w:tblGrid>
      <w:tr w:rsidR="003D2A4A" w:rsidRPr="00DF5935" w:rsidTr="003B31D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EEEEE"/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EEEEE"/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% </w:t>
            </w:r>
          </w:p>
        </w:tc>
      </w:tr>
      <w:tr w:rsidR="003D2A4A" w:rsidRPr="00DF5935" w:rsidTr="003B31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Población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47.351.567 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</w:tr>
      <w:tr w:rsidR="003D2A4A" w:rsidRPr="00DF5935" w:rsidTr="003B31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Anticuerpos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IgG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SARS-CoV-2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2.462.281 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5,2 </w:t>
            </w:r>
          </w:p>
        </w:tc>
      </w:tr>
      <w:tr w:rsidR="003D2A4A" w:rsidRPr="00DF5935" w:rsidTr="003B31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Casos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registrados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249.659 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0,5 </w:t>
            </w:r>
          </w:p>
        </w:tc>
      </w:tr>
      <w:tr w:rsidR="003D2A4A" w:rsidRPr="00DF5935" w:rsidTr="003B31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Precisaron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hospitalización</w:t>
            </w:r>
            <w:proofErr w:type="spellEnd"/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125.222 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2D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D2A4A" w:rsidRPr="00DF5935" w:rsidRDefault="003D2A4A" w:rsidP="003B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DF593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0,3 </w:t>
            </w:r>
          </w:p>
        </w:tc>
      </w:tr>
    </w:tbl>
    <w:p w:rsidR="003D2A4A" w:rsidRPr="00DF5935" w:rsidRDefault="003D2A4A" w:rsidP="003D2A4A">
      <w:pPr>
        <w:spacing w:beforeAutospacing="1" w:after="0" w:afterAutospacing="1" w:line="450" w:lineRule="atLeast"/>
        <w:jc w:val="both"/>
        <w:textAlignment w:val="baseline"/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</w:pPr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Fuente: Informe final Estudio ENE-COVID19 y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actualización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15 SEN (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Ministerio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de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Sanidad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Consumo y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Bienestar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Social).</w:t>
      </w:r>
      <w:hyperlink r:id="rId6" w:anchor="bib0360" w:history="1">
        <w:r w:rsidRPr="00DF5935">
          <w:rPr>
            <w:rFonts w:ascii="inherit" w:eastAsia="Times New Roman" w:hAnsi="inherit" w:cs="Times New Roman"/>
            <w:color w:val="00759B"/>
            <w:sz w:val="15"/>
            <w:szCs w:val="15"/>
            <w:bdr w:val="none" w:sz="0" w:space="0" w:color="auto" w:frame="1"/>
            <w:vertAlign w:val="superscript"/>
            <w:lang w:eastAsia="ca-ES"/>
          </w:rPr>
          <w:t>14,15</w:t>
        </w:r>
      </w:hyperlink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 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Elaboración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 xml:space="preserve"> </w:t>
      </w:r>
      <w:proofErr w:type="spellStart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propia</w:t>
      </w:r>
      <w:proofErr w:type="spellEnd"/>
      <w:r w:rsidRPr="00DF5935">
        <w:rPr>
          <w:rFonts w:ascii="NexusSansPro" w:eastAsia="Times New Roman" w:hAnsi="NexusSansPro" w:cs="Times New Roman"/>
          <w:color w:val="505050"/>
          <w:sz w:val="24"/>
          <w:szCs w:val="24"/>
          <w:lang w:eastAsia="ca-ES"/>
        </w:rPr>
        <w:t>.</w:t>
      </w:r>
    </w:p>
    <w:p w:rsidR="003D2A4A" w:rsidRDefault="003D2A4A" w:rsidP="003D2A4A">
      <w:pPr>
        <w:rPr>
          <w:rFonts w:ascii="NexusSansPro" w:hAnsi="NexusSansPro"/>
          <w:color w:val="505050"/>
          <w:sz w:val="30"/>
          <w:szCs w:val="30"/>
        </w:rPr>
      </w:pPr>
      <w:r>
        <w:rPr>
          <w:rFonts w:ascii="NexusSansPro" w:hAnsi="NexusSansPro"/>
          <w:color w:val="505050"/>
          <w:sz w:val="30"/>
          <w:szCs w:val="30"/>
        </w:rPr>
        <w:t xml:space="preserve">Las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dudas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acerca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conveniencia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vacunarse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sus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efectos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adversos y las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citaciones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generaron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muchas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consultas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sobrecarga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trabajo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en un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contexto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ausencia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información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rigurosa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(valga como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ejemplo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la falta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fundamentación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científica de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inmunidad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grupo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>).</w:t>
      </w:r>
    </w:p>
    <w:p w:rsidR="003D2A4A" w:rsidRDefault="003D2A4A" w:rsidP="003D2A4A">
      <w:pPr>
        <w:rPr>
          <w:rFonts w:ascii="NexusSansPro" w:hAnsi="NexusSansPro"/>
          <w:color w:val="505050"/>
          <w:sz w:val="30"/>
          <w:szCs w:val="30"/>
        </w:rPr>
      </w:pPr>
    </w:p>
    <w:p w:rsidR="003D2A4A" w:rsidRDefault="003D2A4A" w:rsidP="003D2A4A">
      <w:pPr>
        <w:pStyle w:val="elsevierstylepara"/>
        <w:spacing w:line="450" w:lineRule="atLeast"/>
        <w:rPr>
          <w:rFonts w:ascii="NexusSansPro" w:hAnsi="NexusSansPro"/>
          <w:color w:val="505050"/>
          <w:sz w:val="30"/>
          <w:szCs w:val="30"/>
        </w:rPr>
      </w:pPr>
      <w:r>
        <w:rPr>
          <w:rFonts w:ascii="NexusSansPro" w:hAnsi="NexusSansPro"/>
          <w:color w:val="505050"/>
          <w:sz w:val="30"/>
          <w:szCs w:val="30"/>
        </w:rPr>
        <w:t xml:space="preserve">Las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reivindicaciones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tiempo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suficiente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para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ofrecer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una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atención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digna,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acceso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pruebas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diagnósticas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terapéuticas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que den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capacidad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resolutiva,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formación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continuada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actualizada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tiempo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para estudio 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investigación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adecuación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cupos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contemplación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situaciones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especiales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como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atención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al final de la vida,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racionalización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la demanda y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atención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vienen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mucho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tiempo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antes de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pandemia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requieren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una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respuesta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urgente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. Es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necesaria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una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voluntad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política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firme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con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presupuesto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real para recursos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materiales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aumento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los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profesionales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necesarios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cambios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organizativos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profundos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>.</w:t>
      </w:r>
    </w:p>
    <w:p w:rsidR="003D2A4A" w:rsidRDefault="003D2A4A" w:rsidP="003D2A4A">
      <w:r>
        <w:rPr>
          <w:rFonts w:ascii="NexusSansPro" w:hAnsi="NexusSansPro"/>
          <w:color w:val="505050"/>
          <w:sz w:val="30"/>
          <w:szCs w:val="30"/>
        </w:rPr>
        <w:t xml:space="preserve">No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podemos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demorar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mucho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más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tiempo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capacidad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resolutiva de la AP,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perdida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durante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pandemia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. Y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esto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incluye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reflexionar sobre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organización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este pilar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básico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atención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lo que se ha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hecho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lo que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podemos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aprender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.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tendencia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creación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servicios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paralelos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que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duplican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solapan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o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desplazan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 la AP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venía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ya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desarrollándose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antes de la era COVID-19,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pero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la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pandemia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ha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agudizado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este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descremado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,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generando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un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vaciamiento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contenido</w:t>
      </w:r>
      <w:proofErr w:type="spellEnd"/>
      <w:r>
        <w:rPr>
          <w:rFonts w:ascii="NexusSansPro" w:hAnsi="NexusSansPro"/>
          <w:color w:val="505050"/>
          <w:sz w:val="30"/>
          <w:szCs w:val="30"/>
        </w:rPr>
        <w:t xml:space="preserve"> y de </w:t>
      </w:r>
      <w:proofErr w:type="spellStart"/>
      <w:r>
        <w:rPr>
          <w:rFonts w:ascii="NexusSansPro" w:hAnsi="NexusSansPro"/>
          <w:color w:val="505050"/>
          <w:sz w:val="30"/>
          <w:szCs w:val="30"/>
        </w:rPr>
        <w:t>efectividad</w:t>
      </w:r>
      <w:proofErr w:type="spellEnd"/>
    </w:p>
    <w:sectPr w:rsidR="003D2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xusSans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5"/>
    <w:rsid w:val="00312F11"/>
    <w:rsid w:val="003D2A4A"/>
    <w:rsid w:val="005B096F"/>
    <w:rsid w:val="00CD0CCF"/>
    <w:rsid w:val="00DF5935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85F7-A6E8-462D-8039-A731C25B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sevierstylesup">
    <w:name w:val="elsevierstylesup"/>
    <w:basedOn w:val="Fuentedeprrafopredeter"/>
    <w:rsid w:val="00DF5935"/>
  </w:style>
  <w:style w:type="character" w:styleId="Hipervnculo">
    <w:name w:val="Hyperlink"/>
    <w:basedOn w:val="Fuentedeprrafopredeter"/>
    <w:uiPriority w:val="99"/>
    <w:unhideWhenUsed/>
    <w:rsid w:val="00DF5935"/>
    <w:rPr>
      <w:color w:val="0563C1" w:themeColor="hyperlink"/>
      <w:u w:val="single"/>
    </w:rPr>
  </w:style>
  <w:style w:type="paragraph" w:customStyle="1" w:styleId="elsevierstylepara">
    <w:name w:val="elsevierstylepara"/>
    <w:basedOn w:val="Normal"/>
    <w:rsid w:val="00DF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6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4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26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3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cetasanitaria.org/es-impacto-pandemia-atencion-primaria-informe-articulo-S0213911122001248" TargetMode="External"/><Relationship Id="rId5" Type="http://schemas.openxmlformats.org/officeDocument/2006/relationships/hyperlink" Target="https://www.gacetasanitaria.org/es-impacto-pandemia-atencion-primaria-informe-articulo-S0213911122001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BAFD-1020-4A5F-9CC2-F1DEE9AE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marta carrera plans</cp:lastModifiedBy>
  <cp:revision>2</cp:revision>
  <dcterms:created xsi:type="dcterms:W3CDTF">2022-07-17T15:33:00Z</dcterms:created>
  <dcterms:modified xsi:type="dcterms:W3CDTF">2022-07-17T15:33:00Z</dcterms:modified>
</cp:coreProperties>
</file>